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3D6D0F" w:rsidP="0055007A">
            <w:pPr>
              <w:rPr>
                <w:lang w:val="en-US"/>
              </w:rPr>
            </w:pPr>
            <w:r w:rsidRPr="003D6D0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78A" w:rsidRPr="00FF450A" w:rsidRDefault="005A578A" w:rsidP="005A578A">
      <w:pPr>
        <w:pStyle w:val="a8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5A578A" w:rsidRPr="00D31E59" w:rsidRDefault="005A578A" w:rsidP="005A578A">
      <w:pPr>
        <w:pStyle w:val="a8"/>
        <w:jc w:val="center"/>
        <w:rPr>
          <w:b/>
        </w:rPr>
      </w:pPr>
    </w:p>
    <w:p w:rsidR="005A578A" w:rsidRP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78A" w:rsidRPr="00DC0FEA" w:rsidRDefault="00817D4F" w:rsidP="005A578A">
      <w:pPr>
        <w:pStyle w:val="a8"/>
        <w:rPr>
          <w:b/>
          <w:sz w:val="24"/>
          <w:lang w:val="tt-RU"/>
        </w:rPr>
      </w:pPr>
      <w:r>
        <w:rPr>
          <w:sz w:val="24"/>
          <w:lang w:val="tt-RU"/>
        </w:rPr>
        <w:t>Г</w:t>
      </w:r>
      <w:r w:rsidR="00DC0FEA" w:rsidRPr="00DC0FEA">
        <w:rPr>
          <w:sz w:val="24"/>
          <w:lang w:val="tt-RU"/>
        </w:rPr>
        <w:t>ТРК</w:t>
      </w:r>
      <w:r w:rsidR="00DC0FEA" w:rsidRPr="00DC0FEA">
        <w:rPr>
          <w:rFonts w:eastAsia="Calibri"/>
          <w:sz w:val="24"/>
          <w:lang w:val="tt-RU"/>
        </w:rPr>
        <w:t xml:space="preserve"> </w:t>
      </w:r>
      <w:r w:rsidR="00DC0FEA" w:rsidRPr="00DC0FEA">
        <w:rPr>
          <w:bCs/>
          <w:sz w:val="24"/>
        </w:rPr>
        <w:t>«</w:t>
      </w:r>
      <w:r w:rsidR="00DC0FEA" w:rsidRPr="00DC0FEA">
        <w:rPr>
          <w:rFonts w:eastAsia="Calibri"/>
          <w:sz w:val="24"/>
          <w:lang w:val="tt-RU"/>
        </w:rPr>
        <w:t>К</w:t>
      </w:r>
      <w:r w:rsidR="00DC0FEA" w:rsidRPr="00DC0FEA">
        <w:rPr>
          <w:sz w:val="24"/>
          <w:lang w:val="tt-RU"/>
        </w:rPr>
        <w:t>орстон</w:t>
      </w:r>
      <w:r w:rsidR="00DC0FEA" w:rsidRPr="00DC0FEA">
        <w:rPr>
          <w:bCs/>
          <w:sz w:val="24"/>
        </w:rPr>
        <w:t>»</w:t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  <w:t xml:space="preserve">    </w:t>
      </w:r>
      <w:r w:rsidR="00C11B48" w:rsidRPr="00DC0FEA">
        <w:rPr>
          <w:bCs/>
          <w:sz w:val="24"/>
        </w:rPr>
        <w:t xml:space="preserve">             </w:t>
      </w:r>
      <w:r w:rsidR="005A578A" w:rsidRPr="00DC0FEA">
        <w:rPr>
          <w:bCs/>
          <w:sz w:val="24"/>
        </w:rPr>
        <w:t xml:space="preserve"> </w:t>
      </w:r>
      <w:r w:rsidR="00DC0FEA">
        <w:rPr>
          <w:bCs/>
          <w:sz w:val="24"/>
        </w:rPr>
        <w:t xml:space="preserve">             </w:t>
      </w:r>
      <w:r w:rsidR="005A578A" w:rsidRPr="00DC0FEA">
        <w:rPr>
          <w:bCs/>
          <w:sz w:val="24"/>
        </w:rPr>
        <w:t xml:space="preserve">   </w:t>
      </w:r>
      <w:r w:rsidR="00DC0FEA" w:rsidRPr="00DC0FEA">
        <w:rPr>
          <w:bCs/>
          <w:sz w:val="24"/>
        </w:rPr>
        <w:t xml:space="preserve">            </w:t>
      </w:r>
      <w:r w:rsidR="005A578A" w:rsidRPr="00DC0FEA">
        <w:rPr>
          <w:bCs/>
          <w:sz w:val="24"/>
        </w:rPr>
        <w:t xml:space="preserve">  </w:t>
      </w:r>
      <w:r w:rsidR="00DC0FEA" w:rsidRPr="00DC0FEA">
        <w:rPr>
          <w:b/>
          <w:sz w:val="24"/>
        </w:rPr>
        <w:t>04</w:t>
      </w:r>
      <w:r w:rsidR="005A578A" w:rsidRPr="00DC0FEA">
        <w:rPr>
          <w:b/>
          <w:sz w:val="24"/>
          <w:lang w:val="tt-RU"/>
        </w:rPr>
        <w:t>.</w:t>
      </w:r>
      <w:r w:rsidR="00DC0FEA" w:rsidRPr="00DC0FEA">
        <w:rPr>
          <w:b/>
          <w:sz w:val="24"/>
          <w:lang w:val="tt-RU"/>
        </w:rPr>
        <w:t>02</w:t>
      </w:r>
      <w:r w:rsidR="005A578A" w:rsidRPr="00DC0FEA">
        <w:rPr>
          <w:b/>
          <w:sz w:val="24"/>
          <w:lang w:val="tt-RU"/>
        </w:rPr>
        <w:t>.</w:t>
      </w:r>
      <w:r w:rsidR="005A578A" w:rsidRPr="00DC0FEA">
        <w:rPr>
          <w:b/>
          <w:sz w:val="24"/>
        </w:rPr>
        <w:t>20</w:t>
      </w:r>
      <w:r w:rsidR="005A578A" w:rsidRPr="00DC0FEA">
        <w:rPr>
          <w:b/>
          <w:sz w:val="24"/>
          <w:lang w:val="tt-RU"/>
        </w:rPr>
        <w:t>1</w:t>
      </w:r>
      <w:r w:rsidR="00DC0FEA" w:rsidRPr="00DC0FEA">
        <w:rPr>
          <w:b/>
          <w:sz w:val="24"/>
          <w:lang w:val="tt-RU"/>
        </w:rPr>
        <w:t>5</w:t>
      </w:r>
    </w:p>
    <w:p w:rsidR="00DC0FEA" w:rsidRPr="00DC0FEA" w:rsidRDefault="00DC0FEA" w:rsidP="005A578A">
      <w:pPr>
        <w:pStyle w:val="a8"/>
        <w:rPr>
          <w:rFonts w:eastAsia="Calibri"/>
          <w:sz w:val="24"/>
          <w:lang w:val="tt-RU"/>
        </w:rPr>
      </w:pPr>
      <w:r w:rsidRPr="00DC0FEA">
        <w:rPr>
          <w:rFonts w:eastAsia="Calibri"/>
          <w:sz w:val="24"/>
          <w:lang w:val="tt-RU"/>
        </w:rPr>
        <w:t xml:space="preserve">г. Казань, ул. </w:t>
      </w:r>
      <w:r w:rsidRPr="00DC0FEA">
        <w:rPr>
          <w:sz w:val="24"/>
          <w:lang w:val="tt-RU"/>
        </w:rPr>
        <w:t>Н.Ершова</w:t>
      </w:r>
      <w:r w:rsidRPr="00DC0FEA">
        <w:rPr>
          <w:rFonts w:eastAsia="Calibri"/>
          <w:sz w:val="24"/>
          <w:lang w:val="tt-RU"/>
        </w:rPr>
        <w:t xml:space="preserve">, д.1, </w:t>
      </w:r>
      <w:r w:rsidR="00817D4F">
        <w:rPr>
          <w:rFonts w:eastAsia="Calibri"/>
          <w:sz w:val="24"/>
          <w:lang w:val="tt-RU"/>
        </w:rPr>
        <w:t xml:space="preserve">                                                                                              16.00 час.</w:t>
      </w:r>
    </w:p>
    <w:p w:rsidR="00DC0FEA" w:rsidRDefault="00DC0FEA" w:rsidP="005A578A">
      <w:pPr>
        <w:pStyle w:val="a8"/>
        <w:rPr>
          <w:bCs/>
          <w:sz w:val="24"/>
        </w:rPr>
      </w:pPr>
      <w:r w:rsidRPr="00DC0FEA">
        <w:rPr>
          <w:rFonts w:eastAsia="Calibri"/>
          <w:sz w:val="24"/>
          <w:lang w:val="tt-RU"/>
        </w:rPr>
        <w:t xml:space="preserve">зал </w:t>
      </w:r>
      <w:r w:rsidRPr="00DC0FEA">
        <w:rPr>
          <w:bCs/>
          <w:sz w:val="24"/>
        </w:rPr>
        <w:t>«</w:t>
      </w:r>
      <w:r w:rsidRPr="00DC0FEA">
        <w:rPr>
          <w:rFonts w:eastAsia="Calibri"/>
          <w:sz w:val="24"/>
          <w:lang w:val="tt-RU"/>
        </w:rPr>
        <w:t>Пушкин</w:t>
      </w:r>
      <w:r w:rsidRPr="00DC0FEA">
        <w:rPr>
          <w:bCs/>
          <w:sz w:val="24"/>
        </w:rPr>
        <w:t>»</w:t>
      </w:r>
    </w:p>
    <w:p w:rsidR="00DC0FEA" w:rsidRDefault="00DC0FEA" w:rsidP="005A578A">
      <w:pPr>
        <w:pStyle w:val="a8"/>
        <w:rPr>
          <w:bCs/>
          <w:sz w:val="24"/>
        </w:rPr>
      </w:pPr>
    </w:p>
    <w:p w:rsidR="00DC0FEA" w:rsidRPr="003C58AF" w:rsidRDefault="00DC0FEA" w:rsidP="00DC0FEA">
      <w:pPr>
        <w:pStyle w:val="a8"/>
        <w:spacing w:line="276" w:lineRule="auto"/>
        <w:ind w:left="40" w:right="200"/>
        <w:jc w:val="center"/>
        <w:rPr>
          <w:b/>
          <w:sz w:val="32"/>
        </w:rPr>
      </w:pPr>
      <w:r w:rsidRPr="003C58AF">
        <w:rPr>
          <w:b/>
          <w:sz w:val="32"/>
          <w:lang w:val="tt-RU"/>
        </w:rPr>
        <w:t>Уполномоченный</w:t>
      </w:r>
      <w:r w:rsidRPr="003C58AF">
        <w:rPr>
          <w:b/>
          <w:sz w:val="32"/>
        </w:rPr>
        <w:t xml:space="preserve"> по правам человека в Республике Татарстан</w:t>
      </w:r>
      <w:r w:rsidRPr="003C58AF">
        <w:rPr>
          <w:b/>
          <w:sz w:val="32"/>
          <w:lang w:val="tt-RU"/>
        </w:rPr>
        <w:t xml:space="preserve"> подводит итоги за 2014 год</w:t>
      </w:r>
    </w:p>
    <w:p w:rsidR="00DC0FEA" w:rsidRPr="00D31E59" w:rsidRDefault="00DC0FEA" w:rsidP="00DC0FEA">
      <w:pPr>
        <w:pStyle w:val="a8"/>
        <w:spacing w:line="276" w:lineRule="auto"/>
        <w:ind w:left="40" w:right="200"/>
        <w:jc w:val="center"/>
        <w:rPr>
          <w:b/>
          <w:sz w:val="36"/>
        </w:rPr>
      </w:pPr>
    </w:p>
    <w:p w:rsidR="00DC0FEA" w:rsidRPr="00817D4F" w:rsidRDefault="00DC0FEA" w:rsidP="00817D4F">
      <w:pPr>
        <w:pStyle w:val="a8"/>
        <w:ind w:firstLine="709"/>
        <w:rPr>
          <w:szCs w:val="28"/>
        </w:rPr>
      </w:pPr>
    </w:p>
    <w:p w:rsidR="00DC0FEA" w:rsidRPr="00817D4F" w:rsidRDefault="00DC0FEA" w:rsidP="00817D4F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В среду  4 февраля</w:t>
      </w:r>
      <w:r w:rsidRPr="00817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 201</w:t>
      </w:r>
      <w:r w:rsidRPr="00817D4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5 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года  в 1</w:t>
      </w:r>
      <w:r w:rsidRPr="00817D4F">
        <w:rPr>
          <w:rFonts w:ascii="Times New Roman" w:hAnsi="Times New Roman" w:cs="Times New Roman"/>
          <w:b w:val="0"/>
          <w:sz w:val="28"/>
          <w:szCs w:val="28"/>
          <w:lang w:val="tt-RU"/>
        </w:rPr>
        <w:t>6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.00  в  </w:t>
      </w:r>
      <w:r w:rsidR="003C58AF"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Г</w:t>
      </w:r>
      <w:r w:rsidRPr="00817D4F">
        <w:rPr>
          <w:rFonts w:ascii="Times New Roman" w:hAnsi="Times New Roman" w:cs="Times New Roman"/>
          <w:b w:val="0"/>
          <w:sz w:val="28"/>
          <w:szCs w:val="28"/>
          <w:lang w:val="tt-RU"/>
        </w:rPr>
        <w:t>ТРК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Pr="00817D4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К</w:t>
      </w:r>
      <w:r w:rsidRPr="00817D4F">
        <w:rPr>
          <w:rFonts w:ascii="Times New Roman" w:hAnsi="Times New Roman" w:cs="Times New Roman"/>
          <w:b w:val="0"/>
          <w:sz w:val="28"/>
          <w:szCs w:val="28"/>
          <w:lang w:val="tt-RU"/>
        </w:rPr>
        <w:t>орстон</w:t>
      </w:r>
      <w:r w:rsidRPr="00817D4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(г. Казань, </w:t>
      </w:r>
      <w:r w:rsidR="003C58AF"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        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ул. </w:t>
      </w:r>
      <w:r w:rsidRPr="00817D4F">
        <w:rPr>
          <w:rFonts w:ascii="Times New Roman" w:hAnsi="Times New Roman" w:cs="Times New Roman"/>
          <w:b w:val="0"/>
          <w:sz w:val="28"/>
          <w:szCs w:val="28"/>
          <w:lang w:val="tt-RU"/>
        </w:rPr>
        <w:t>Н.Ершова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, д.1, зал </w:t>
      </w:r>
      <w:r w:rsidRPr="00817D4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Пушкин</w:t>
      </w:r>
      <w:r w:rsidRPr="00817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») 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состоится расширенное заседание экспертного совета при Уполномоченном  по правам человека в Республике Татарстан  </w:t>
      </w:r>
      <w:r w:rsidRPr="00817D4F">
        <w:rPr>
          <w:rFonts w:ascii="Times New Roman" w:hAnsi="Times New Roman" w:cs="Times New Roman"/>
          <w:b w:val="0"/>
          <w:sz w:val="28"/>
          <w:szCs w:val="28"/>
        </w:rPr>
        <w:t>с  повесткой    «О проекте доклада «О соблюдении прав и свобод человека и гражданина в Республике</w:t>
      </w:r>
      <w:bookmarkStart w:id="0" w:name="bookmark2"/>
      <w:r w:rsidRPr="00817D4F">
        <w:rPr>
          <w:rFonts w:ascii="Times New Roman" w:hAnsi="Times New Roman" w:cs="Times New Roman"/>
          <w:b w:val="0"/>
          <w:sz w:val="28"/>
          <w:szCs w:val="28"/>
        </w:rPr>
        <w:t xml:space="preserve"> Татарстан в 2014 году»</w:t>
      </w:r>
      <w:bookmarkEnd w:id="0"/>
      <w:r w:rsidRPr="00817D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0FEA" w:rsidRPr="00817D4F" w:rsidRDefault="00DC0FEA" w:rsidP="00817D4F">
      <w:pPr>
        <w:pStyle w:val="21"/>
        <w:tabs>
          <w:tab w:val="left" w:pos="752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817D4F">
        <w:rPr>
          <w:rFonts w:ascii="Times New Roman" w:hAnsi="Times New Roman" w:cs="Times New Roman"/>
        </w:rPr>
        <w:t xml:space="preserve">Помимо обсуждения проекта доклада  «О соблюдении прав и свобод человека и гражданина в Республике Татарстан в 2014 году» запланированы также выступления министра юстиции   Республики Татарстан Ларисы </w:t>
      </w:r>
      <w:proofErr w:type="spellStart"/>
      <w:r w:rsidRPr="00817D4F">
        <w:rPr>
          <w:rFonts w:ascii="Times New Roman" w:hAnsi="Times New Roman" w:cs="Times New Roman"/>
        </w:rPr>
        <w:t>Глуховой</w:t>
      </w:r>
      <w:proofErr w:type="spellEnd"/>
      <w:r w:rsidRPr="00817D4F">
        <w:rPr>
          <w:rFonts w:ascii="Times New Roman" w:hAnsi="Times New Roman" w:cs="Times New Roman"/>
        </w:rPr>
        <w:t>,  директор</w:t>
      </w:r>
      <w:r w:rsidR="00480A99">
        <w:rPr>
          <w:rFonts w:ascii="Times New Roman" w:hAnsi="Times New Roman" w:cs="Times New Roman"/>
        </w:rPr>
        <w:t>а</w:t>
      </w:r>
      <w:r w:rsidRPr="00817D4F">
        <w:rPr>
          <w:rFonts w:ascii="Times New Roman" w:hAnsi="Times New Roman" w:cs="Times New Roman"/>
        </w:rPr>
        <w:t xml:space="preserve"> автономной благотворительной некоммерческой организации «Новый век» Лили</w:t>
      </w:r>
      <w:r w:rsidR="00480A99">
        <w:rPr>
          <w:rFonts w:ascii="Times New Roman" w:hAnsi="Times New Roman" w:cs="Times New Roman"/>
        </w:rPr>
        <w:t>и</w:t>
      </w:r>
      <w:r w:rsidRPr="00817D4F">
        <w:rPr>
          <w:rFonts w:ascii="Times New Roman" w:hAnsi="Times New Roman" w:cs="Times New Roman"/>
        </w:rPr>
        <w:t xml:space="preserve"> </w:t>
      </w:r>
      <w:proofErr w:type="spellStart"/>
      <w:r w:rsidRPr="00817D4F">
        <w:rPr>
          <w:rFonts w:ascii="Times New Roman" w:hAnsi="Times New Roman" w:cs="Times New Roman"/>
        </w:rPr>
        <w:t>Таишевой</w:t>
      </w:r>
      <w:proofErr w:type="spellEnd"/>
      <w:r w:rsidRPr="00817D4F">
        <w:rPr>
          <w:rFonts w:ascii="Times New Roman" w:hAnsi="Times New Roman" w:cs="Times New Roman"/>
        </w:rPr>
        <w:t>, перв</w:t>
      </w:r>
      <w:r w:rsidR="003C58AF" w:rsidRPr="00817D4F">
        <w:rPr>
          <w:rFonts w:ascii="Times New Roman" w:hAnsi="Times New Roman" w:cs="Times New Roman"/>
        </w:rPr>
        <w:t xml:space="preserve">ого </w:t>
      </w:r>
      <w:r w:rsidRPr="00817D4F">
        <w:rPr>
          <w:rFonts w:ascii="Times New Roman" w:hAnsi="Times New Roman" w:cs="Times New Roman"/>
        </w:rPr>
        <w:t xml:space="preserve"> заместител</w:t>
      </w:r>
      <w:r w:rsidR="003C58AF" w:rsidRPr="00817D4F">
        <w:rPr>
          <w:rFonts w:ascii="Times New Roman" w:hAnsi="Times New Roman" w:cs="Times New Roman"/>
        </w:rPr>
        <w:t>я</w:t>
      </w:r>
      <w:r w:rsidRPr="00817D4F">
        <w:rPr>
          <w:rFonts w:ascii="Times New Roman" w:hAnsi="Times New Roman" w:cs="Times New Roman"/>
        </w:rPr>
        <w:t xml:space="preserve"> руководителя Исполнительного комитета муниципального образования город Набережные Челны Республики Татарстан Рината Абдуллина, общественн</w:t>
      </w:r>
      <w:r w:rsidR="003C58AF" w:rsidRPr="00817D4F">
        <w:rPr>
          <w:rFonts w:ascii="Times New Roman" w:hAnsi="Times New Roman" w:cs="Times New Roman"/>
        </w:rPr>
        <w:t>ого</w:t>
      </w:r>
      <w:r w:rsidRPr="00817D4F">
        <w:rPr>
          <w:rFonts w:ascii="Times New Roman" w:hAnsi="Times New Roman" w:cs="Times New Roman"/>
        </w:rPr>
        <w:t xml:space="preserve"> помощник</w:t>
      </w:r>
      <w:r w:rsidR="003C58AF" w:rsidRPr="00817D4F">
        <w:rPr>
          <w:rFonts w:ascii="Times New Roman" w:hAnsi="Times New Roman" w:cs="Times New Roman"/>
        </w:rPr>
        <w:t>а</w:t>
      </w:r>
      <w:r w:rsidRPr="00817D4F">
        <w:rPr>
          <w:rFonts w:ascii="Times New Roman" w:hAnsi="Times New Roman" w:cs="Times New Roman"/>
        </w:rPr>
        <w:t xml:space="preserve"> Уполномоченного по правам человека в Республике Татарстан в</w:t>
      </w:r>
      <w:proofErr w:type="gramEnd"/>
      <w:r w:rsidRPr="00817D4F">
        <w:rPr>
          <w:rFonts w:ascii="Times New Roman" w:hAnsi="Times New Roman" w:cs="Times New Roman"/>
        </w:rPr>
        <w:t xml:space="preserve"> </w:t>
      </w:r>
      <w:proofErr w:type="spellStart"/>
      <w:r w:rsidRPr="00817D4F">
        <w:rPr>
          <w:rFonts w:ascii="Times New Roman" w:hAnsi="Times New Roman" w:cs="Times New Roman"/>
        </w:rPr>
        <w:t>Апастовском</w:t>
      </w:r>
      <w:proofErr w:type="spellEnd"/>
      <w:r w:rsidRPr="00817D4F">
        <w:rPr>
          <w:rFonts w:ascii="Times New Roman" w:hAnsi="Times New Roman" w:cs="Times New Roman"/>
        </w:rPr>
        <w:t xml:space="preserve"> муниципальном </w:t>
      </w:r>
      <w:proofErr w:type="gramStart"/>
      <w:r w:rsidRPr="00817D4F">
        <w:rPr>
          <w:rFonts w:ascii="Times New Roman" w:hAnsi="Times New Roman" w:cs="Times New Roman"/>
        </w:rPr>
        <w:t>районе</w:t>
      </w:r>
      <w:proofErr w:type="gramEnd"/>
      <w:r w:rsidRPr="00817D4F">
        <w:rPr>
          <w:rFonts w:ascii="Times New Roman" w:hAnsi="Times New Roman" w:cs="Times New Roman"/>
        </w:rPr>
        <w:t xml:space="preserve"> Луизы Сафиной на татарском языке.  </w:t>
      </w:r>
      <w:r w:rsidRPr="00817D4F">
        <w:rPr>
          <w:rFonts w:ascii="Times New Roman" w:eastAsia="Calibri" w:hAnsi="Times New Roman" w:cs="Times New Roman"/>
        </w:rPr>
        <w:t>В нынешнем ежегодном докладе Уполномоченного по правам человека в Республике Татарстан планируется отразить информацию о соблюдении прав человека на охрану здоровья, на жилище, на труд, социальну</w:t>
      </w:r>
      <w:r w:rsidR="003C58AF" w:rsidRPr="00817D4F">
        <w:rPr>
          <w:rFonts w:ascii="Times New Roman" w:eastAsia="Calibri" w:hAnsi="Times New Roman" w:cs="Times New Roman"/>
        </w:rPr>
        <w:t>ю поддержку и защиту населения и т.д.</w:t>
      </w:r>
    </w:p>
    <w:p w:rsidR="00DC0FEA" w:rsidRPr="00817D4F" w:rsidRDefault="00DC0FEA" w:rsidP="00817D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817D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Оценка ситуации соблюдения прав и свобод человека и гражданина в Республике Татарстан основывается на обобщении результатов рассмотрения поступивших к Уполномоченному по правам человека в Республике Татарстан жалоб заявителей, итогов проверок, данных государственных органов и органов местного самоуправления, а также информации, представленной общественными помощниками Уполномоченного, сообщений </w:t>
      </w:r>
      <w:r w:rsidRPr="00817D4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неправительственных правозащитных организаций и средств массовой информации, материалов республиканских межведомственных комиссий и других источников.</w:t>
      </w:r>
      <w:proofErr w:type="gramEnd"/>
    </w:p>
    <w:p w:rsidR="003C58AF" w:rsidRPr="00817D4F" w:rsidRDefault="00DC0FEA" w:rsidP="0081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>В рамках доклада будет озвучена обстановка с соблюдением прав военнослужащих по призыву, а также лиц, содержащихся в местах принудительного содержания.</w:t>
      </w:r>
      <w:r w:rsidR="003C58AF" w:rsidRPr="00817D4F">
        <w:rPr>
          <w:rFonts w:ascii="Times New Roman" w:hAnsi="Times New Roman" w:cs="Times New Roman"/>
          <w:sz w:val="28"/>
          <w:szCs w:val="28"/>
        </w:rPr>
        <w:t xml:space="preserve"> Отдельный раздел доклада посвящен работе Уполномоченного и его аппарата по содействию правовому просвещению.</w:t>
      </w:r>
    </w:p>
    <w:p w:rsidR="003C58AF" w:rsidRPr="00817D4F" w:rsidRDefault="003C58AF" w:rsidP="0081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>В 2014 году к Уполномоченному поступило 2982 обращения. Из них 1732 жалобы (иных обращений) – в письменной форме или в виде электронного документа. Приняты меры по восстановлению нарушенных прав по 286 жалобам. На личном приеме поступило 1250 обращений.</w:t>
      </w:r>
    </w:p>
    <w:p w:rsidR="003C58AF" w:rsidRPr="00817D4F" w:rsidRDefault="003C58AF" w:rsidP="0081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>Чаще всего жалобы (иные обращения) граждан (включая личный прием) были связаны с реализацией жилищных прав, в том числе в сфере жилищно-коммунального обслуживания (788). Кроме того, наиболее распространенными обращениями в общей структуре являлись обращения, связанные с жалобами на сотрудников правоохранительных органов (392), социальным обеспечением и социальной защитой населения (265), трудовыми отношениями (253), несогласием с судебными решениями (239).</w:t>
      </w:r>
    </w:p>
    <w:p w:rsidR="003C58AF" w:rsidRPr="00817D4F" w:rsidRDefault="003C58AF" w:rsidP="0081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 xml:space="preserve">Выросшее число обращений в 2014 году по сравнению с 2013 годом по вопросам, касающимся трудовых отношений (253 – в 2014 году, 127 – в 2013 году), и вопросам, связанным с реализацией прав военнослужащих (103 – в 2014 году; 42 – в 2013 году) наблюдается ввиду </w:t>
      </w:r>
      <w:proofErr w:type="spellStart"/>
      <w:r w:rsidRPr="00817D4F">
        <w:rPr>
          <w:rFonts w:ascii="Times New Roman" w:hAnsi="Times New Roman" w:cs="Times New Roman"/>
          <w:sz w:val="28"/>
          <w:szCs w:val="28"/>
        </w:rPr>
        <w:t>проактивных</w:t>
      </w:r>
      <w:proofErr w:type="spellEnd"/>
      <w:r w:rsidRPr="00817D4F">
        <w:rPr>
          <w:rFonts w:ascii="Times New Roman" w:hAnsi="Times New Roman" w:cs="Times New Roman"/>
          <w:sz w:val="28"/>
          <w:szCs w:val="28"/>
        </w:rPr>
        <w:t xml:space="preserve"> форм работы по данным тематикам. Так, например, с Государственной инспекцией труда в Республике Татарстан в 2014 году было проведено 3 совместных приема граждан. Тем самым представляется, что по указанным сферам правоотношений требуется большая инициативность от государственных органов для реализации конституционного права жителей республики на обращение в их адрес. </w:t>
      </w:r>
    </w:p>
    <w:p w:rsidR="003C58AF" w:rsidRPr="00817D4F" w:rsidRDefault="003C58AF" w:rsidP="0081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 xml:space="preserve">В 2014 году также проведено 5 совместных приемов со Следственным управлением Следственного комитета Российской Федерации по Республике Татарстан, 3 приема – с Министерством внутренних дел по Республике Татарстан, по одному – с Министерством здравоохранения Республики Татарстан, прокуратурой Республики Татарстан, Общественной наблюдательной комиссией Республики Татарстан. </w:t>
      </w:r>
    </w:p>
    <w:p w:rsidR="003C58AF" w:rsidRPr="00817D4F" w:rsidRDefault="003C58AF" w:rsidP="0081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>Всего в ходе совместных приемов Уполномоченного с государственными органами и Общественной наблюдательной комиссией Республики Татарстан принято 190 человек.</w:t>
      </w:r>
    </w:p>
    <w:p w:rsidR="003C58AF" w:rsidRPr="00817D4F" w:rsidRDefault="003C58AF" w:rsidP="0081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>К общественным помощникам Уполномоченного по правам человека в Республике Татарстан в 2014 году поступило 2136 обращений. В своей деятельности по содействию в восстановлении нарушенных прав и свобод человека и гражданина общественные помощники осуществляли тесное взаимодействие с правоохранительными органами, органами местного самоуправления и институтами гражданского общества.</w:t>
      </w:r>
    </w:p>
    <w:p w:rsidR="00DC0FEA" w:rsidRPr="00817D4F" w:rsidRDefault="003C58AF" w:rsidP="00817D4F">
      <w:pPr>
        <w:pStyle w:val="a8"/>
        <w:ind w:firstLine="709"/>
        <w:rPr>
          <w:szCs w:val="28"/>
        </w:rPr>
      </w:pPr>
      <w:r w:rsidRPr="00817D4F">
        <w:rPr>
          <w:szCs w:val="28"/>
        </w:rPr>
        <w:t xml:space="preserve">С 5 августа 2013 года Уполномоченным осуществляется деятельность главного модератора государственной информационной системы Республики </w:t>
      </w:r>
      <w:r w:rsidRPr="00817D4F">
        <w:rPr>
          <w:szCs w:val="28"/>
        </w:rPr>
        <w:lastRenderedPageBreak/>
        <w:t>Татарстан «Народный контроль». За 2014 год в системе опубликовано     21558 уведомлений. Чаще всего уведомления поступали по категориям «Благоустройство территории» (7646) и «Организация дорожного движения» (6652).</w:t>
      </w:r>
    </w:p>
    <w:p w:rsidR="003C58AF" w:rsidRPr="00817D4F" w:rsidRDefault="003C58AF" w:rsidP="0081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817D4F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817D4F">
        <w:rPr>
          <w:rFonts w:ascii="Times New Roman" w:hAnsi="Times New Roman" w:cs="Times New Roman"/>
          <w:sz w:val="28"/>
          <w:szCs w:val="28"/>
        </w:rPr>
        <w:t xml:space="preserve"> 1753 уведомления было возвращено в работу, поскольку компетентный орган не принял надлежащих мер по рассмотрению поступившей в его адрес информации гражданина или группы лиц о необходимости решения той или иной проблемы. </w:t>
      </w:r>
    </w:p>
    <w:p w:rsidR="003C58AF" w:rsidRPr="00817D4F" w:rsidRDefault="003C58AF" w:rsidP="0081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>Наряду с письменными обращениями граждан, анализ данных в информационной системе второй год подряд становится источником информации для формирования оценки ситуации по соблюдению и защите прав и свобод человека и гражданина в Республике Татарстан.</w:t>
      </w:r>
    </w:p>
    <w:p w:rsidR="00DC0FEA" w:rsidRPr="00817D4F" w:rsidRDefault="00DC0FEA" w:rsidP="0081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D4F">
        <w:rPr>
          <w:rFonts w:ascii="Times New Roman" w:hAnsi="Times New Roman" w:cs="Times New Roman"/>
          <w:sz w:val="28"/>
          <w:szCs w:val="28"/>
        </w:rPr>
        <w:t>2014 год ознаменовался для правозащитной сферы Республики Татарстан разработкой  и принятием Стратегии по правам человека на 2014-2018 годы Конечная  задача  реализации настоящей Стратегии – определение приоритетных направлений совершенствования системы защиты прав человека в Республике Татарстан, выработка конкретных мер, способов такой защиты, которая будет способствовать усилению гарантий реального обеспечения прав и свобод человека.</w:t>
      </w:r>
      <w:proofErr w:type="gramEnd"/>
    </w:p>
    <w:p w:rsidR="00DC0FEA" w:rsidRPr="00817D4F" w:rsidRDefault="00DC0FEA" w:rsidP="0081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 xml:space="preserve">В 2015 году исполняется 15 лет со дня   учреждения института Уполномоченного по правам человека в Республике Татарстан.  </w:t>
      </w:r>
    </w:p>
    <w:p w:rsidR="00DC0FEA" w:rsidRPr="00817D4F" w:rsidRDefault="00DC0FEA" w:rsidP="00817D4F">
      <w:pPr>
        <w:pStyle w:val="a8"/>
        <w:ind w:firstLine="709"/>
        <w:rPr>
          <w:szCs w:val="28"/>
        </w:rPr>
      </w:pPr>
      <w:r w:rsidRPr="00817D4F">
        <w:rPr>
          <w:szCs w:val="28"/>
        </w:rPr>
        <w:t xml:space="preserve">Целью заседания </w:t>
      </w:r>
      <w:r w:rsidR="003C58AF" w:rsidRPr="00817D4F">
        <w:rPr>
          <w:szCs w:val="28"/>
        </w:rPr>
        <w:t>э</w:t>
      </w:r>
      <w:r w:rsidRPr="00817D4F">
        <w:rPr>
          <w:szCs w:val="28"/>
        </w:rPr>
        <w:t>кспертного совета является внесение предложений об устранении нарушений и недостатков работы в области прав человека компетентными органами и должностными лицами.</w:t>
      </w:r>
    </w:p>
    <w:p w:rsidR="00252316" w:rsidRPr="00817D4F" w:rsidRDefault="003C58AF" w:rsidP="00817D4F">
      <w:pPr>
        <w:pStyle w:val="a8"/>
        <w:ind w:firstLine="709"/>
        <w:rPr>
          <w:szCs w:val="28"/>
        </w:rPr>
      </w:pPr>
      <w:r w:rsidRPr="00817D4F">
        <w:rPr>
          <w:szCs w:val="28"/>
        </w:rPr>
        <w:t xml:space="preserve">Приглашаем представителей средств массовой информации принять участие в заседании экспертного совета при </w:t>
      </w:r>
      <w:r w:rsidR="00817D4F" w:rsidRPr="00817D4F">
        <w:rPr>
          <w:rFonts w:eastAsia="Calibri"/>
          <w:szCs w:val="28"/>
          <w:lang w:val="tt-RU"/>
        </w:rPr>
        <w:t>Уполномоченном  по правам человека в Республике Татарстан.</w:t>
      </w:r>
    </w:p>
    <w:p w:rsidR="00252316" w:rsidRDefault="00252316" w:rsidP="00DC0FEA">
      <w:pPr>
        <w:pStyle w:val="a8"/>
        <w:ind w:firstLine="709"/>
        <w:rPr>
          <w:szCs w:val="28"/>
        </w:rPr>
      </w:pPr>
    </w:p>
    <w:p w:rsidR="00252316" w:rsidRDefault="00252316" w:rsidP="00DC0FEA">
      <w:pPr>
        <w:pStyle w:val="a8"/>
        <w:ind w:firstLine="709"/>
        <w:rPr>
          <w:szCs w:val="28"/>
        </w:rPr>
      </w:pPr>
    </w:p>
    <w:p w:rsidR="00252316" w:rsidRDefault="00252316" w:rsidP="00DC0FEA">
      <w:pPr>
        <w:pStyle w:val="a8"/>
        <w:ind w:firstLine="709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</w:rPr>
      </w:pPr>
      <w:r w:rsidRPr="00817D4F">
        <w:rPr>
          <w:rFonts w:ascii="Times New Roman" w:hAnsi="Times New Roman"/>
          <w:szCs w:val="24"/>
          <w:u w:val="single"/>
        </w:rPr>
        <w:t xml:space="preserve">Контактное лицо: </w:t>
      </w:r>
      <w:r w:rsidRPr="00817D4F">
        <w:rPr>
          <w:rFonts w:ascii="Times New Roman" w:hAnsi="Times New Roman"/>
          <w:szCs w:val="24"/>
        </w:rPr>
        <w:t>ведущий консультант информационно-аналитического отдела Аппарата Уполномоченного по правам человека в Республике</w:t>
      </w:r>
      <w:r w:rsidRPr="00817D4F">
        <w:rPr>
          <w:rFonts w:ascii="Times New Roman" w:hAnsi="Times New Roman"/>
          <w:szCs w:val="24"/>
          <w:u w:val="single"/>
        </w:rPr>
        <w:t xml:space="preserve"> </w:t>
      </w:r>
      <w:r w:rsidRPr="00817D4F">
        <w:rPr>
          <w:rFonts w:ascii="Times New Roman" w:hAnsi="Times New Roman"/>
          <w:szCs w:val="24"/>
        </w:rPr>
        <w:t>Татарстан</w:t>
      </w: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817D4F">
        <w:rPr>
          <w:rFonts w:ascii="Times New Roman" w:hAnsi="Times New Roman"/>
          <w:szCs w:val="24"/>
          <w:u w:val="single"/>
        </w:rPr>
        <w:t>Дана Карпухина</w:t>
      </w: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</w:rPr>
      </w:pPr>
      <w:r w:rsidRPr="00817D4F">
        <w:rPr>
          <w:rFonts w:ascii="Times New Roman" w:hAnsi="Times New Roman"/>
          <w:szCs w:val="24"/>
        </w:rPr>
        <w:t>тел.: 236-40-62,</w:t>
      </w: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</w:rPr>
      </w:pPr>
      <w:r w:rsidRPr="00817D4F">
        <w:rPr>
          <w:rFonts w:ascii="Times New Roman" w:hAnsi="Times New Roman"/>
          <w:szCs w:val="24"/>
        </w:rPr>
        <w:t xml:space="preserve">8-937-619-32-02 </w:t>
      </w: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  <w:lang w:val="en-US"/>
        </w:rPr>
      </w:pPr>
      <w:proofErr w:type="gramStart"/>
      <w:r w:rsidRPr="00817D4F">
        <w:rPr>
          <w:rFonts w:ascii="Times New Roman" w:hAnsi="Times New Roman"/>
          <w:szCs w:val="24"/>
          <w:lang w:val="en-US"/>
        </w:rPr>
        <w:t>e-mail</w:t>
      </w:r>
      <w:proofErr w:type="gramEnd"/>
      <w:r w:rsidRPr="00817D4F">
        <w:rPr>
          <w:rFonts w:ascii="Times New Roman" w:hAnsi="Times New Roman"/>
          <w:szCs w:val="24"/>
          <w:lang w:val="en-US"/>
        </w:rPr>
        <w:t>:  Dana.Tazetdinova@tatar.ru</w:t>
      </w:r>
    </w:p>
    <w:sectPr w:rsidR="00252316" w:rsidRPr="00817D4F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17E1"/>
    <w:rsid w:val="000E706A"/>
    <w:rsid w:val="0016465F"/>
    <w:rsid w:val="00165127"/>
    <w:rsid w:val="001816DA"/>
    <w:rsid w:val="00185B24"/>
    <w:rsid w:val="00194E21"/>
    <w:rsid w:val="00196F99"/>
    <w:rsid w:val="002058CC"/>
    <w:rsid w:val="00227EF0"/>
    <w:rsid w:val="00245845"/>
    <w:rsid w:val="00252316"/>
    <w:rsid w:val="002E3B6B"/>
    <w:rsid w:val="00344E7E"/>
    <w:rsid w:val="00345C09"/>
    <w:rsid w:val="003A7DE9"/>
    <w:rsid w:val="003C58AF"/>
    <w:rsid w:val="003D13F4"/>
    <w:rsid w:val="003D6D0F"/>
    <w:rsid w:val="004027B2"/>
    <w:rsid w:val="00472629"/>
    <w:rsid w:val="00480A99"/>
    <w:rsid w:val="00510DB4"/>
    <w:rsid w:val="005129DD"/>
    <w:rsid w:val="00541C91"/>
    <w:rsid w:val="0055007A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A0EFA"/>
    <w:rsid w:val="006C358A"/>
    <w:rsid w:val="006D1384"/>
    <w:rsid w:val="006E1EE7"/>
    <w:rsid w:val="006E5996"/>
    <w:rsid w:val="006E5E88"/>
    <w:rsid w:val="00750CF0"/>
    <w:rsid w:val="007679CD"/>
    <w:rsid w:val="0078153D"/>
    <w:rsid w:val="007D5BEB"/>
    <w:rsid w:val="007F7266"/>
    <w:rsid w:val="008071F5"/>
    <w:rsid w:val="00817D4F"/>
    <w:rsid w:val="00844F78"/>
    <w:rsid w:val="008479C1"/>
    <w:rsid w:val="0087412B"/>
    <w:rsid w:val="00925CCA"/>
    <w:rsid w:val="0096600B"/>
    <w:rsid w:val="009A5B38"/>
    <w:rsid w:val="009D62A3"/>
    <w:rsid w:val="009E12EF"/>
    <w:rsid w:val="009E539A"/>
    <w:rsid w:val="00A24EAF"/>
    <w:rsid w:val="00A36C9E"/>
    <w:rsid w:val="00A54DE0"/>
    <w:rsid w:val="00A5679B"/>
    <w:rsid w:val="00A86F74"/>
    <w:rsid w:val="00AA6C4B"/>
    <w:rsid w:val="00AB533D"/>
    <w:rsid w:val="00AC1EC9"/>
    <w:rsid w:val="00AD5EDB"/>
    <w:rsid w:val="00AF4DFA"/>
    <w:rsid w:val="00C11B48"/>
    <w:rsid w:val="00C526E4"/>
    <w:rsid w:val="00C776AF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0FEA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character" w:customStyle="1" w:styleId="1">
    <w:name w:val="Заголовок №1"/>
    <w:basedOn w:val="a0"/>
    <w:link w:val="11"/>
    <w:locked/>
    <w:rsid w:val="00DC0FE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DC0FEA"/>
    <w:pPr>
      <w:shd w:val="clear" w:color="auto" w:fill="FFFFFF"/>
      <w:spacing w:after="0" w:line="314" w:lineRule="exact"/>
      <w:jc w:val="center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locked/>
    <w:rsid w:val="00DC0FE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C0FEA"/>
    <w:pPr>
      <w:shd w:val="clear" w:color="auto" w:fill="FFFFFF"/>
      <w:spacing w:after="0" w:line="319" w:lineRule="exact"/>
      <w:ind w:firstLine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2015-02-03T07:23:00Z</cp:lastPrinted>
  <dcterms:created xsi:type="dcterms:W3CDTF">2015-02-03T07:55:00Z</dcterms:created>
  <dcterms:modified xsi:type="dcterms:W3CDTF">2015-02-03T07:59:00Z</dcterms:modified>
</cp:coreProperties>
</file>